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SIP trunk customer intake form</w:t>
      </w:r>
    </w:p>
    <w:p>
      <w:r>
        <w:rPr>
          <w:b w:val="0"/>
          <w:sz w:val="18"/>
        </w:rPr>
        <w:t>Complete this form to request SIP trunk connectivity from Voice Global Networks for your own PBX or compatible SIP system. Hosted PBX tenants, extensions and end user apps are outside this service request.</w:t>
      </w:r>
    </w:p>
    <w:p>
      <w:r>
        <w:rPr>
          <w:b w:val="0"/>
          <w:sz w:val="18"/>
        </w:rPr>
        <w:t>Complete all four pages. Your IT team should complete the technical section on page 3. Use the editable Word fields and checkboxes. Write Unknown where you need advice.</w:t>
      </w:r>
    </w:p>
    <w:p>
      <w:r>
        <w:rPr>
          <w:b w:val="0"/>
          <w:sz w:val="18"/>
        </w:rPr>
        <w:t>Do not include passwords, API keys, payment card details or identity documents. Return the form through the channel agreed with your Voice Global Networks contact.</w:t>
      </w:r>
    </w:p>
    <w:p>
      <w:pPr>
        <w:pStyle w:val="Heading2"/>
      </w:pPr>
      <w:r>
        <w:t>1 Company and contacts</w:t>
      </w:r>
    </w:p>
    <w:p>
      <w:pPr>
        <w:keepNext/>
      </w:pPr>
      <w:r>
        <w:rPr>
          <w:b/>
        </w:rPr>
        <w:t>Legal company name and trading name</w:t>
      </w:r>
    </w:p>
    <w:p>
      <w:pPr>
        <w:spacing w:after="100"/>
      </w:pPr>
      <w:sdt>
        <w:sdtPr>
          <w:alias w:val="Legal company name and trading name"/>
          <w:tag w:val="company_names"/>
          <w:id w:val="100"/>
          <w:text/>
          <w:showingPlcHdr/>
        </w:sdtPr>
        <w:sdtContent>
          <w:r>
            <w:rPr>
              <w:color w:val="64748B"/>
            </w:rPr>
            <w:t xml:space="preserve">Click or tap to enter</w:t>
          </w:r>
        </w:sdtContent>
      </w:sdt>
    </w:p>
    <w:p>
      <w:pPr>
        <w:tabs>
          <w:tab w:pos="4896" w:val="left"/>
        </w:tabs>
      </w:pPr>
      <w:r>
        <w:rPr>
          <w:b/>
        </w:rPr>
        <w:t xml:space="preserve">Registration country  </w:t>
      </w:r>
      <w:sdt>
        <w:sdtPr>
          <w:alias w:val="Registration country"/>
          <w:tag w:val="registration_country"/>
          <w:id w:val="101"/>
          <w:text/>
          <w:showingPlcHdr/>
        </w:sdtPr>
        <w:sdtContent>
          <w:r>
            <w:rPr>
              <w:color w:val="64748B"/>
            </w:rPr>
            <w:t xml:space="preserve">Enter</w:t>
          </w:r>
        </w:sdtContent>
      </w:sdt>
      <w:r>
        <w:tab/>
      </w:r>
      <w:r>
        <w:rPr>
          <w:b/>
        </w:rPr>
        <w:t xml:space="preserve">Registration number  </w:t>
      </w:r>
      <w:sdt>
        <w:sdtPr>
          <w:alias w:val="Registration number"/>
          <w:tag w:val="registration_number"/>
          <w:id w:val="102"/>
          <w:text/>
          <w:showingPlcHdr/>
        </w:sdtPr>
        <w:sdtContent>
          <w:r>
            <w:rPr>
              <w:color w:val="64748B"/>
            </w:rPr>
            <w:t xml:space="preserve">Enter</w:t>
          </w:r>
        </w:sdtContent>
      </w:sdt>
    </w:p>
    <w:p>
      <w:pPr>
        <w:keepNext/>
      </w:pPr>
      <w:r>
        <w:rPr>
          <w:b/>
        </w:rPr>
        <w:t>Billing address and tax or VAT number if applicable</w:t>
      </w:r>
    </w:p>
    <w:p>
      <w:pPr>
        <w:spacing w:after="100"/>
      </w:pPr>
      <w:sdt>
        <w:sdtPr>
          <w:alias w:val="Billing address and tax or VAT number if applicable"/>
          <w:tag w:val="billing_address"/>
          <w:id w:val="103"/>
          <w:text/>
          <w:showingPlcHdr/>
        </w:sdtPr>
        <w:sdtContent>
          <w:r>
            <w:rPr>
              <w:color w:val="64748B"/>
            </w:rPr>
            <w:t xml:space="preserve">Click or tap to enter</w:t>
          </w:r>
        </w:sdtContent>
      </w:sdt>
      <w:r>
        <w:br/>
        <w:t>___________________________________________________________________________________________</w:t>
      </w:r>
    </w:p>
    <w:p>
      <w:pPr>
        <w:keepNext/>
      </w:pPr>
      <w:r>
        <w:rPr>
          <w:b/>
        </w:rPr>
        <w:t>Primary contact name role email and telephone</w:t>
      </w:r>
    </w:p>
    <w:p>
      <w:pPr>
        <w:spacing w:after="100"/>
      </w:pPr>
      <w:sdt>
        <w:sdtPr>
          <w:alias w:val="Primary contact name role email and telephone"/>
          <w:tag w:val="primary_contact"/>
          <w:id w:val="104"/>
          <w:text/>
          <w:showingPlcHdr/>
        </w:sdtPr>
        <w:sdtContent>
          <w:r>
            <w:rPr>
              <w:color w:val="64748B"/>
            </w:rPr>
            <w:t xml:space="preserve">Click or tap to enter</w:t>
          </w:r>
        </w:sdtContent>
      </w:sdt>
    </w:p>
    <w:p>
      <w:pPr>
        <w:keepNext/>
      </w:pPr>
      <w:r>
        <w:rPr>
          <w:b/>
        </w:rPr>
        <w:t>Technical contact or PBX maintainer name email and telephone</w:t>
      </w:r>
    </w:p>
    <w:p>
      <w:pPr>
        <w:spacing w:after="100"/>
      </w:pPr>
      <w:sdt>
        <w:sdtPr>
          <w:alias w:val="Technical contact or PBX maintainer name email and telephone"/>
          <w:tag w:val="technical_contact"/>
          <w:id w:val="105"/>
          <w:text/>
          <w:showingPlcHdr/>
        </w:sdtPr>
        <w:sdtContent>
          <w:r>
            <w:rPr>
              <w:color w:val="64748B"/>
            </w:rPr>
            <w:t xml:space="preserve">Click or tap to enter</w:t>
          </w:r>
        </w:sdtContent>
      </w:sdt>
    </w:p>
    <w:p>
      <w:pPr>
        <w:keepNext/>
      </w:pPr>
      <w:r>
        <w:rPr>
          <w:b/>
        </w:rPr>
        <w:t>Person authorised to approve trunk changes name and work email</w:t>
      </w:r>
    </w:p>
    <w:p>
      <w:pPr>
        <w:spacing w:after="100"/>
      </w:pPr>
      <w:sdt>
        <w:sdtPr>
          <w:alias w:val="Person authorised to approve trunk changes name and work email"/>
          <w:tag w:val="service_admin"/>
          <w:id w:val="106"/>
          <w:text/>
          <w:showingPlcHdr/>
        </w:sdtPr>
        <w:sdtContent>
          <w:r>
            <w:rPr>
              <w:color w:val="64748B"/>
            </w:rPr>
            <w:t xml:space="preserve">Click or tap to enter</w:t>
          </w:r>
        </w:sdtContent>
      </w:sdt>
    </w:p>
    <w:p>
      <w:pPr>
        <w:keepNext/>
      </w:pPr>
      <w:r>
        <w:rPr>
          <w:b/>
        </w:rPr>
        <w:t>Billing contact name and email</w:t>
      </w:r>
    </w:p>
    <w:p>
      <w:pPr>
        <w:spacing w:after="100"/>
      </w:pPr>
      <w:sdt>
        <w:sdtPr>
          <w:alias w:val="Billing contact name and email"/>
          <w:tag w:val="billing_contact"/>
          <w:id w:val="107"/>
          <w:text/>
          <w:showingPlcHdr/>
        </w:sdtPr>
        <w:sdtContent>
          <w:r>
            <w:rPr>
              <w:color w:val="64748B"/>
            </w:rPr>
            <w:t xml:space="preserve">Click or tap to enter</w:t>
          </w:r>
        </w:sdtContent>
      </w:sdt>
    </w:p>
    <w:p>
      <w:pPr>
        <w:pStyle w:val="Heading2"/>
      </w:pPr>
      <w:r>
        <w:t>2 Calling service and expected usage</w:t>
      </w:r>
    </w:p>
    <w:p>
      <w:r>
        <w:rPr>
          <w:b/>
        </w:rPr>
        <w:t>Required call direction</w:t>
      </w:r>
    </w:p>
    <w:p>
      <w:pPr>
        <w:spacing w:after="100"/>
      </w:pPr>
      <w:sdt>
        <w:sdtPr>
          <w:alias w:val="Required call direction — Incoming"/>
          <w:tag w:val="call_direction_1"/>
          <w:id w:val="108"/>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Incoming</w:t>
      </w:r>
      <w:r>
        <w:t xml:space="preserve">    </w:t>
      </w:r>
      <w:sdt>
        <w:sdtPr>
          <w:alias w:val="Required call direction — Outgoing"/>
          <w:tag w:val="call_direction_2"/>
          <w:id w:val="109"/>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Outgoing</w:t>
      </w:r>
      <w:r>
        <w:t xml:space="preserve">    </w:t>
      </w:r>
      <w:sdt>
        <w:sdtPr>
          <w:alias w:val="Required call direction — Both"/>
          <w:tag w:val="call_direction_3"/>
          <w:id w:val="110"/>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Both</w:t>
      </w:r>
    </w:p>
    <w:p>
      <w:pPr>
        <w:keepNext/>
      </w:pPr>
      <w:r>
        <w:rPr>
          <w:b/>
        </w:rPr>
        <w:t>Business use and countries where your PBX and users are located</w:t>
      </w:r>
    </w:p>
    <w:p>
      <w:pPr>
        <w:spacing w:after="100"/>
      </w:pPr>
      <w:sdt>
        <w:sdtPr>
          <w:alias w:val="Business use and countries where your PBX and users are located"/>
          <w:tag w:val="use_and_countries"/>
          <w:id w:val="111"/>
          <w:text/>
          <w:showingPlcHdr/>
        </w:sdtPr>
        <w:sdtContent>
          <w:r>
            <w:rPr>
              <w:color w:val="64748B"/>
            </w:rPr>
            <w:t xml:space="preserve">Click or tap to enter</w:t>
          </w:r>
        </w:sdtContent>
      </w:sdt>
    </w:p>
    <w:p>
      <w:pPr>
        <w:tabs>
          <w:tab w:pos="4896" w:val="left"/>
        </w:tabs>
      </w:pPr>
      <w:r>
        <w:rPr>
          <w:b/>
        </w:rPr>
        <w:t xml:space="preserve">Number of PBX systems or sites  </w:t>
      </w:r>
      <w:sdt>
        <w:sdtPr>
          <w:alias w:val="Number of PBX systems or sites"/>
          <w:tag w:val="pbx_sites"/>
          <w:id w:val="112"/>
          <w:text/>
          <w:showingPlcHdr/>
        </w:sdtPr>
        <w:sdtContent>
          <w:r>
            <w:rPr>
              <w:color w:val="64748B"/>
            </w:rPr>
            <w:t xml:space="preserve">Enter</w:t>
          </w:r>
        </w:sdtContent>
      </w:sdt>
      <w:r>
        <w:tab/>
      </w:r>
      <w:r>
        <w:rPr>
          <w:b/>
        </w:rPr>
        <w:t xml:space="preserve">Peak simultaneous calls  </w:t>
      </w:r>
      <w:sdt>
        <w:sdtPr>
          <w:alias w:val="Peak simultaneous calls"/>
          <w:tag w:val="max_calls"/>
          <w:id w:val="113"/>
          <w:text/>
          <w:showingPlcHdr/>
        </w:sdtPr>
        <w:sdtContent>
          <w:r>
            <w:rPr>
              <w:color w:val="64748B"/>
            </w:rPr>
            <w:t xml:space="preserve">Enter</w:t>
          </w:r>
        </w:sdtContent>
      </w:sdt>
    </w:p>
    <w:p>
      <w:pPr>
        <w:tabs>
          <w:tab w:pos="4896" w:val="left"/>
        </w:tabs>
      </w:pPr>
      <w:r>
        <w:rPr>
          <w:b/>
        </w:rPr>
        <w:t xml:space="preserve">Estimated minutes per month  </w:t>
      </w:r>
      <w:sdt>
        <w:sdtPr>
          <w:alias w:val="Estimated minutes per month"/>
          <w:tag w:val="monthly_minutes"/>
          <w:id w:val="114"/>
          <w:text/>
          <w:showingPlcHdr/>
        </w:sdtPr>
        <w:sdtContent>
          <w:r>
            <w:rPr>
              <w:color w:val="64748B"/>
            </w:rPr>
            <w:t xml:space="preserve">Enter</w:t>
          </w:r>
        </w:sdtContent>
      </w:sdt>
      <w:r>
        <w:tab/>
      </w:r>
      <w:r>
        <w:rPr>
          <w:b/>
        </w:rPr>
        <w:t xml:space="preserve">Target start date  </w:t>
      </w:r>
      <w:sdt>
        <w:sdtPr>
          <w:alias w:val="Target start date"/>
          <w:tag w:val="target_date"/>
          <w:id w:val="115"/>
          <w:text/>
          <w:showingPlcHdr/>
        </w:sdtPr>
        <w:sdtContent>
          <w:r>
            <w:rPr>
              <w:color w:val="64748B"/>
            </w:rPr>
            <w:t xml:space="preserve">Enter</w:t>
          </w:r>
        </w:sdtContent>
      </w:sdt>
    </w:p>
    <w:p>
      <w:pPr>
        <w:keepNext/>
      </w:pPr>
      <w:r>
        <w:rPr>
          <w:b/>
        </w:rPr>
        <w:t>Expected new calls per second or peak call bursts</w:t>
      </w:r>
      <w:r>
        <w:rPr>
          <w:sz w:val="18"/>
        </w:rPr>
        <w:t xml:space="preserve">  Your PBX maintainer can supply this; Unknown is acceptable</w:t>
      </w:r>
    </w:p>
    <w:p>
      <w:pPr>
        <w:spacing w:after="100"/>
      </w:pPr>
      <w:sdt>
        <w:sdtPr>
          <w:alias w:val="Expected new calls per second or peak call bursts"/>
          <w:tag w:val="cps"/>
          <w:id w:val="116"/>
          <w:text/>
          <w:showingPlcHdr/>
        </w:sdtPr>
        <w:sdtContent>
          <w:r>
            <w:rPr>
              <w:color w:val="64748B"/>
            </w:rPr>
            <w:t xml:space="preserve">Click or tap to enter</w:t>
          </w:r>
        </w:sdtContent>
      </w:sdt>
    </w:p>
    <w:p>
      <w:pPr>
        <w:tabs>
          <w:tab w:pos="4896" w:val="left"/>
        </w:tabs>
      </w:pPr>
      <w:r>
        <w:rPr>
          <w:b/>
        </w:rPr>
        <w:t xml:space="preserve">Monthly budget and currency  </w:t>
      </w:r>
      <w:sdt>
        <w:sdtPr>
          <w:alias w:val="Monthly budget and currency"/>
          <w:tag w:val="budget"/>
          <w:id w:val="117"/>
          <w:text/>
          <w:showingPlcHdr/>
        </w:sdtPr>
        <w:sdtContent>
          <w:r>
            <w:rPr>
              <w:color w:val="64748B"/>
            </w:rPr>
            <w:t xml:space="preserve">Enter</w:t>
          </w:r>
        </w:sdtContent>
      </w:sdt>
      <w:r>
        <w:tab/>
      </w:r>
      <w:r>
        <w:rPr>
          <w:b/>
        </w:rPr>
        <w:t xml:space="preserve">Quote or purchase order  </w:t>
      </w:r>
      <w:sdt>
        <w:sdtPr>
          <w:alias w:val="Quote or purchase order"/>
          <w:tag w:val="commercial_reference"/>
          <w:id w:val="118"/>
          <w:text/>
          <w:showingPlcHdr/>
        </w:sdtPr>
        <w:sdtContent>
          <w:r>
            <w:rPr>
              <w:color w:val="64748B"/>
            </w:rPr>
            <w:t xml:space="preserve">Enter</w:t>
          </w:r>
        </w:sdtContent>
      </w:sdt>
    </w:p>
    <w:p>
      <w:pPr>
        <w:keepNext/>
      </w:pPr>
      <w:r>
        <w:rPr>
          <w:b/>
        </w:rPr>
        <w:t>Existing provider and any migration dependency</w:t>
      </w:r>
    </w:p>
    <w:p>
      <w:pPr>
        <w:spacing w:after="100"/>
      </w:pPr>
      <w:sdt>
        <w:sdtPr>
          <w:alias w:val="Existing provider and any migration dependency"/>
          <w:tag w:val="migration_scope"/>
          <w:id w:val="119"/>
          <w:text/>
          <w:showingPlcHdr/>
        </w:sdtPr>
        <w:sdtContent>
          <w:r>
            <w:rPr>
              <w:color w:val="64748B"/>
            </w:rPr>
            <w:t xml:space="preserve">Click or tap to enter</w:t>
          </w:r>
        </w:sdtContent>
      </w:sdt>
    </w:p>
    <w:p>
      <w:r>
        <w:br w:type="page"/>
      </w:r>
    </w:p>
    <w:p>
      <w:pPr>
        <w:pStyle w:val="Heading1"/>
      </w:pPr>
      <w:r>
        <w:t>3 Numbers destinations and usage controls</w:t>
      </w:r>
    </w:p>
    <w:p>
      <w:r>
        <w:rPr>
          <w:b w:val="0"/>
          <w:sz w:val="18"/>
        </w:rPr>
        <w:t>List telephone numbers in international format with + and country code. Number availability, ownership and porting feasibility need confirmation; a request does not reserve a number.</w:t>
      </w:r>
    </w:p>
    <w:tbl>
      <w:tblPr>
        <w:tblW w:type="auto" w:w="0"/>
        <w:tblLayout w:type="fixed"/>
        <w:tblLook w:firstColumn="1" w:firstRow="1" w:lastColumn="0" w:lastRow="0" w:noHBand="0" w:noVBand="1" w:val="04A0"/>
      </w:tblPr>
      <w:tblGrid>
        <w:gridCol w:w="2232"/>
        <w:gridCol w:w="2664"/>
        <w:gridCol w:w="2808"/>
        <w:gridCol w:w="2189"/>
      </w:tblGrid>
      <w:tr>
        <w:trPr>
          <w:tblHeader/>
        </w:trPr>
        <w:tc>
          <w:tcPr>
            <w:tcW w:type="dxa" w:w="2232"/>
            <w:shd w:fill="0C4A6E"/>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pPr>
            <w:r>
              <w:rPr>
                <w:b/>
                <w:color w:val="FFFFFF"/>
                <w:sz w:val="18"/>
              </w:rPr>
              <w:t>Number or quantity</w:t>
            </w:r>
          </w:p>
        </w:tc>
        <w:tc>
          <w:tcPr>
            <w:tcW w:type="dxa" w:w="2664"/>
            <w:shd w:fill="0C4A6E"/>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pPr>
            <w:r>
              <w:rPr>
                <w:b/>
                <w:color w:val="FFFFFF"/>
                <w:sz w:val="18"/>
              </w:rPr>
              <w:t>Country and request</w:t>
              <w:br/>
              <w:t>New or port existing</w:t>
            </w:r>
          </w:p>
        </w:tc>
        <w:tc>
          <w:tcPr>
            <w:tcW w:type="dxa" w:w="2808"/>
            <w:shd w:fill="0C4A6E"/>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pPr>
            <w:r>
              <w:rPr>
                <w:b/>
                <w:color w:val="FFFFFF"/>
                <w:sz w:val="18"/>
              </w:rPr>
              <w:t>Delivery target</w:t>
              <w:br/>
              <w:t>PBX or site label</w:t>
            </w:r>
          </w:p>
        </w:tc>
        <w:tc>
          <w:tcPr>
            <w:tcW w:type="dxa" w:w="2189"/>
            <w:shd w:fill="0C4A6E"/>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0"/>
            </w:pPr>
            <w:r>
              <w:rPr>
                <w:b/>
                <w:color w:val="FFFFFF"/>
                <w:sz w:val="18"/>
              </w:rPr>
              <w:t>Outgoing caller ID</w:t>
              <w:br/>
              <w:t>Yes or No</w:t>
            </w:r>
          </w:p>
        </w:tc>
      </w:tr>
      <w:t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Number or quantity row 1"/>
                <w:tag w:val="numbers_1_1"/>
                <w:id w:val="120"/>
                <w:text/>
                <w:showingPlcHdr/>
              </w:sdtPr>
              <w:sdtContent>
                <w:r>
                  <w:rPr>
                    <w:color w:val="64748B"/>
                  </w:rPr>
                  <w:t xml:space="preserve">Enter</w:t>
                </w:r>
              </w:sdtContent>
            </w:sdt>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Country and request&#10;New or port existing row 1"/>
                <w:tag w:val="numbers_1_2"/>
                <w:id w:val="121"/>
                <w:text/>
                <w:showingPlcHdr/>
              </w:sdtPr>
              <w:sdtContent>
                <w:r>
                  <w:rPr>
                    <w:color w:val="64748B"/>
                  </w:rPr>
                  <w:t xml:space="preserve">Enter</w:t>
                </w:r>
              </w:sdtContent>
            </w:sdt>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Delivery target&#10;PBX or site label row 1"/>
                <w:tag w:val="numbers_1_3"/>
                <w:id w:val="122"/>
                <w:text/>
                <w:showingPlcHdr/>
              </w:sdtPr>
              <w:sdtContent>
                <w:r>
                  <w:rPr>
                    <w:color w:val="64748B"/>
                  </w:rPr>
                  <w:t xml:space="preserve">Enter</w:t>
                </w:r>
              </w:sdtContent>
            </w:sdt>
          </w:p>
        </w:tc>
        <w:tc>
          <w:tcPr>
            <w:tcW w:type="dxa" w:w="2189"/>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Outgoing caller ID&#10;Yes or No row 1"/>
                <w:tag w:val="numbers_1_4"/>
                <w:id w:val="123"/>
                <w:text/>
                <w:showingPlcHdr/>
              </w:sdtPr>
              <w:sdtContent>
                <w:r>
                  <w:rPr>
                    <w:color w:val="64748B"/>
                  </w:rPr>
                  <w:t xml:space="preserve">Enter</w:t>
                </w:r>
              </w:sdtContent>
            </w:sdt>
          </w:p>
        </w:tc>
      </w:tr>
      <w:tr>
        <w:tc>
          <w:tcPr>
            <w:tcW w:type="dxa" w:w="2232"/>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Number or quantity row 2"/>
                <w:tag w:val="numbers_2_1"/>
                <w:id w:val="124"/>
                <w:text/>
                <w:showingPlcHdr/>
              </w:sdtPr>
              <w:sdtContent>
                <w:r>
                  <w:rPr>
                    <w:color w:val="64748B"/>
                  </w:rPr>
                  <w:t xml:space="preserve">Enter</w:t>
                </w:r>
              </w:sdtContent>
            </w:sdt>
          </w:p>
        </w:tc>
        <w:tc>
          <w:tcPr>
            <w:tcW w:type="dxa" w:w="2664"/>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Country and request&#10;New or port existing row 2"/>
                <w:tag w:val="numbers_2_2"/>
                <w:id w:val="125"/>
                <w:text/>
                <w:showingPlcHdr/>
              </w:sdtPr>
              <w:sdtContent>
                <w:r>
                  <w:rPr>
                    <w:color w:val="64748B"/>
                  </w:rPr>
                  <w:t xml:space="preserve">Enter</w:t>
                </w:r>
              </w:sdtContent>
            </w:sdt>
          </w:p>
        </w:tc>
        <w:tc>
          <w:tcPr>
            <w:tcW w:type="dxa" w:w="2808"/>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Delivery target&#10;PBX or site label row 2"/>
                <w:tag w:val="numbers_2_3"/>
                <w:id w:val="126"/>
                <w:text/>
                <w:showingPlcHdr/>
              </w:sdtPr>
              <w:sdtContent>
                <w:r>
                  <w:rPr>
                    <w:color w:val="64748B"/>
                  </w:rPr>
                  <w:t xml:space="preserve">Enter</w:t>
                </w:r>
              </w:sdtContent>
            </w:sdt>
          </w:p>
        </w:tc>
        <w:tc>
          <w:tcPr>
            <w:tcW w:type="dxa" w:w="2189"/>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Outgoing caller ID&#10;Yes or No row 2"/>
                <w:tag w:val="numbers_2_4"/>
                <w:id w:val="127"/>
                <w:text/>
                <w:showingPlcHdr/>
              </w:sdtPr>
              <w:sdtContent>
                <w:r>
                  <w:rPr>
                    <w:color w:val="64748B"/>
                  </w:rPr>
                  <w:t xml:space="preserve">Enter</w:t>
                </w:r>
              </w:sdtContent>
            </w:sdt>
          </w:p>
        </w:tc>
      </w:tr>
      <w:tr>
        <w:tc>
          <w:tcPr>
            <w:tcW w:type="dxa" w:w="2232"/>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Number or quantity row 3"/>
                <w:tag w:val="numbers_3_1"/>
                <w:id w:val="128"/>
                <w:text/>
                <w:showingPlcHdr/>
              </w:sdtPr>
              <w:sdtContent>
                <w:r>
                  <w:rPr>
                    <w:color w:val="64748B"/>
                  </w:rPr>
                  <w:t xml:space="preserve">Enter</w:t>
                </w:r>
              </w:sdtContent>
            </w:sdt>
          </w:p>
        </w:tc>
        <w:tc>
          <w:tcPr>
            <w:tcW w:type="dxa" w:w="2664"/>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Country and request&#10;New or port existing row 3"/>
                <w:tag w:val="numbers_3_2"/>
                <w:id w:val="129"/>
                <w:text/>
                <w:showingPlcHdr/>
              </w:sdtPr>
              <w:sdtContent>
                <w:r>
                  <w:rPr>
                    <w:color w:val="64748B"/>
                  </w:rPr>
                  <w:t xml:space="preserve">Enter</w:t>
                </w:r>
              </w:sdtContent>
            </w:sdt>
          </w:p>
        </w:tc>
        <w:tc>
          <w:tcPr>
            <w:tcW w:type="dxa" w:w="2808"/>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Delivery target&#10;PBX or site label row 3"/>
                <w:tag w:val="numbers_3_3"/>
                <w:id w:val="130"/>
                <w:text/>
                <w:showingPlcHdr/>
              </w:sdtPr>
              <w:sdtContent>
                <w:r>
                  <w:rPr>
                    <w:color w:val="64748B"/>
                  </w:rPr>
                  <w:t xml:space="preserve">Enter</w:t>
                </w:r>
              </w:sdtContent>
            </w:sdt>
          </w:p>
        </w:tc>
        <w:tc>
          <w:tcPr>
            <w:tcW w:type="dxa" w:w="2189"/>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Outgoing caller ID&#10;Yes or No row 3"/>
                <w:tag w:val="numbers_3_4"/>
                <w:id w:val="131"/>
                <w:text/>
                <w:showingPlcHdr/>
              </w:sdtPr>
              <w:sdtContent>
                <w:r>
                  <w:rPr>
                    <w:color w:val="64748B"/>
                  </w:rPr>
                  <w:t xml:space="preserve">Enter</w:t>
                </w:r>
              </w:sdtContent>
            </w:sdt>
          </w:p>
        </w:tc>
      </w:tr>
      <w:tr>
        <w:tc>
          <w:tcPr>
            <w:tcW w:type="dxa" w:w="2232"/>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Number or quantity row 4"/>
                <w:tag w:val="numbers_4_1"/>
                <w:id w:val="132"/>
                <w:text/>
                <w:showingPlcHdr/>
              </w:sdtPr>
              <w:sdtContent>
                <w:r>
                  <w:rPr>
                    <w:color w:val="64748B"/>
                  </w:rPr>
                  <w:t xml:space="preserve">Enter</w:t>
                </w:r>
              </w:sdtContent>
            </w:sdt>
          </w:p>
        </w:tc>
        <w:tc>
          <w:tcPr>
            <w:tcW w:type="dxa" w:w="2664"/>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Country and request&#10;New or port existing row 4"/>
                <w:tag w:val="numbers_4_2"/>
                <w:id w:val="133"/>
                <w:text/>
                <w:showingPlcHdr/>
              </w:sdtPr>
              <w:sdtContent>
                <w:r>
                  <w:rPr>
                    <w:color w:val="64748B"/>
                  </w:rPr>
                  <w:t xml:space="preserve">Enter</w:t>
                </w:r>
              </w:sdtContent>
            </w:sdt>
          </w:p>
        </w:tc>
        <w:tc>
          <w:tcPr>
            <w:tcW w:type="dxa" w:w="2808"/>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Delivery target&#10;PBX or site label row 4"/>
                <w:tag w:val="numbers_4_3"/>
                <w:id w:val="134"/>
                <w:text/>
                <w:showingPlcHdr/>
              </w:sdtPr>
              <w:sdtContent>
                <w:r>
                  <w:rPr>
                    <w:color w:val="64748B"/>
                  </w:rPr>
                  <w:t xml:space="preserve">Enter</w:t>
                </w:r>
              </w:sdtContent>
            </w:sdt>
          </w:p>
        </w:tc>
        <w:tc>
          <w:tcPr>
            <w:tcW w:type="dxa" w:w="2189"/>
            <w:shd w:fill="F3F7FA"/>
            <w:vAlign w:val="center"/>
            <w:tcBorders>
              <w:top w:val="single" w:sz="4" w:color="D9D9D9"/>
              <w:left w:val="single" w:sz="4" w:color="D9D9D9"/>
              <w:bottom w:val="single" w:sz="4" w:color="D9D9D9"/>
              <w:right w:val="single" w:sz="4" w:color="D9D9D9"/>
            </w:tcBorders>
            <w:tcMar>
              <w:top w:w="80" w:type="dxa"/>
              <w:left w:w="80" w:type="dxa"/>
              <w:bottom w:w="80" w:type="dxa"/>
              <w:right w:w="80" w:type="dxa"/>
            </w:tcMar>
          </w:tcPr>
          <w:p>
            <w:pPr>
              <w:spacing w:after="80" w:before="80"/>
            </w:pPr>
            <w:sdt>
              <w:sdtPr>
                <w:alias w:val="Outgoing caller ID&#10;Yes or No row 4"/>
                <w:tag w:val="numbers_4_4"/>
                <w:id w:val="135"/>
                <w:text/>
                <w:showingPlcHdr/>
              </w:sdtPr>
              <w:sdtContent>
                <w:r>
                  <w:rPr>
                    <w:color w:val="64748B"/>
                  </w:rPr>
                  <w:t xml:space="preserve">Enter</w:t>
                </w:r>
              </w:sdtContent>
            </w:sdt>
          </w:p>
        </w:tc>
      </w:tr>
    </w:tbl>
    <w:p>
      <w:pPr>
        <w:spacing w:after="0"/>
      </w:pPr>
    </w:p>
    <w:p>
      <w:pPr>
        <w:keepNext/>
      </w:pPr>
      <w:r>
        <w:rPr>
          <w:b/>
        </w:rPr>
        <w:t>Current number provider and ownership or assignment reference</w:t>
      </w:r>
      <w:r>
        <w:rPr>
          <w:sz w:val="18"/>
        </w:rPr>
        <w:t xml:space="preserve">  A reference only; supporting evidence will be requested securely</w:t>
      </w:r>
    </w:p>
    <w:p>
      <w:pPr>
        <w:spacing w:after="100"/>
      </w:pPr>
      <w:sdt>
        <w:sdtPr>
          <w:alias w:val="Current number provider and ownership or assignment reference"/>
          <w:tag w:val="number_ownership"/>
          <w:id w:val="136"/>
          <w:text/>
          <w:showingPlcHdr/>
        </w:sdtPr>
        <w:sdtContent>
          <w:r>
            <w:rPr>
              <w:color w:val="64748B"/>
            </w:rPr>
            <w:t xml:space="preserve">Click or tap to enter</w:t>
          </w:r>
        </w:sdtContent>
      </w:sdt>
    </w:p>
    <w:p>
      <w:r>
        <w:rPr>
          <w:b w:val="0"/>
          <w:sz w:val="18"/>
        </w:rPr>
        <w:t>If requesting a port, keep the existing service active until an agreed transfer completes. List any linked services or porting restrictions below.</w:t>
      </w:r>
    </w:p>
    <w:p>
      <w:pPr>
        <w:keepNext/>
      </w:pPr>
      <w:r>
        <w:rPr>
          <w:b/>
        </w:rPr>
        <w:t>Porting requirements or dependencies</w:t>
      </w:r>
    </w:p>
    <w:p>
      <w:pPr>
        <w:spacing w:after="100"/>
      </w:pPr>
      <w:sdt>
        <w:sdtPr>
          <w:alias w:val="Porting requirements or dependencies"/>
          <w:tag w:val="porting_dependencies"/>
          <w:id w:val="137"/>
          <w:text/>
          <w:showingPlcHdr/>
        </w:sdtPr>
        <w:sdtContent>
          <w:r>
            <w:rPr>
              <w:color w:val="64748B"/>
            </w:rPr>
            <w:t xml:space="preserve">Click or tap to enter</w:t>
          </w:r>
        </w:sdtContent>
      </w:sdt>
    </w:p>
    <w:p>
      <w:pPr>
        <w:keepNext/>
      </w:pPr>
      <w:r>
        <w:rPr>
          <w:b/>
        </w:rPr>
        <w:t>Approved outgoing caller IDs requested</w:t>
      </w:r>
    </w:p>
    <w:p>
      <w:pPr>
        <w:spacing w:after="100"/>
      </w:pPr>
      <w:sdt>
        <w:sdtPr>
          <w:alias w:val="Approved outgoing caller IDs requested"/>
          <w:tag w:val="caller_ids"/>
          <w:id w:val="138"/>
          <w:text/>
          <w:showingPlcHdr/>
        </w:sdtPr>
        <w:sdtContent>
          <w:r>
            <w:rPr>
              <w:color w:val="64748B"/>
            </w:rPr>
            <w:t xml:space="preserve">Click or tap to enter</w:t>
          </w:r>
        </w:sdtContent>
      </w:sdt>
    </w:p>
    <w:p>
      <w:pPr>
        <w:keepNext/>
      </w:pPr>
      <w:r>
        <w:rPr>
          <w:b/>
        </w:rPr>
        <w:t>Countries or prefixes you need to call</w:t>
      </w:r>
    </w:p>
    <w:p>
      <w:pPr>
        <w:spacing w:after="100"/>
      </w:pPr>
      <w:sdt>
        <w:sdtPr>
          <w:alias w:val="Countries or prefixes you need to call"/>
          <w:tag w:val="allowed_destinations"/>
          <w:id w:val="139"/>
          <w:text/>
          <w:showingPlcHdr/>
        </w:sdtPr>
        <w:sdtContent>
          <w:r>
            <w:rPr>
              <w:color w:val="64748B"/>
            </w:rPr>
            <w:t xml:space="preserve">Click or tap to enter</w:t>
          </w:r>
        </w:sdtContent>
      </w:sdt>
      <w:r>
        <w:br/>
        <w:t>___________________________________________________________________________________________</w:t>
      </w:r>
    </w:p>
    <w:p>
      <w:r>
        <w:rPr>
          <w:b/>
        </w:rPr>
        <w:t>Special destination requests</w:t>
      </w:r>
    </w:p>
    <w:p>
      <w:pPr>
        <w:spacing w:after="100"/>
      </w:pPr>
      <w:sdt>
        <w:sdtPr>
          <w:alias w:val="Special destination requests — Premium rate"/>
          <w:tag w:val="special_destinations_1"/>
          <w:id w:val="140"/>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Premium rate</w:t>
      </w:r>
      <w:r>
        <w:t xml:space="preserve">    </w:t>
      </w:r>
      <w:sdt>
        <w:sdtPr>
          <w:alias w:val="Special destination requests — Special service numbers"/>
          <w:tag w:val="special_destinations_2"/>
          <w:id w:val="141"/>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Special service numbers</w:t>
      </w:r>
      <w:r>
        <w:t xml:space="preserve">    </w:t>
      </w:r>
      <w:sdt>
        <w:sdtPr>
          <w:alias w:val="Special destination requests — None"/>
          <w:tag w:val="special_destinations_3"/>
          <w:id w:val="142"/>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None</w:t>
      </w:r>
      <w:r>
        <w:t xml:space="preserve">    </w:t>
      </w:r>
      <w:sdt>
        <w:sdtPr>
          <w:alias w:val="Special destination requests — Need advice"/>
          <w:tag w:val="special_destinations_4"/>
          <w:id w:val="143"/>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Need advice</w:t>
      </w:r>
    </w:p>
    <w:p>
      <w:r>
        <w:rPr>
          <w:b w:val="0"/>
          <w:sz w:val="18"/>
        </w:rPr>
        <w:t>Only verified caller IDs and approved destinations will be enabled. Describe any restrictions by PBX or site, including international calling and time of day.</w:t>
      </w:r>
    </w:p>
    <w:p>
      <w:pPr>
        <w:keepNext/>
      </w:pPr>
      <w:r>
        <w:rPr>
          <w:b/>
        </w:rPr>
        <w:t>Required destination restrictions by PBX or site</w:t>
      </w:r>
    </w:p>
    <w:p>
      <w:pPr>
        <w:spacing w:after="100"/>
      </w:pPr>
      <w:sdt>
        <w:sdtPr>
          <w:alias w:val="Required destination restrictions by PBX or site"/>
          <w:tag w:val="destination_restrictions"/>
          <w:id w:val="144"/>
          <w:text/>
          <w:showingPlcHdr/>
        </w:sdtPr>
        <w:sdtContent>
          <w:r>
            <w:rPr>
              <w:color w:val="64748B"/>
            </w:rPr>
            <w:t xml:space="preserve">Click or tap to enter</w:t>
          </w:r>
        </w:sdtContent>
      </w:sdt>
    </w:p>
    <w:p>
      <w:pPr>
        <w:pStyle w:val="Heading2"/>
      </w:pPr>
      <w:r>
        <w:t>4 Commercial and fraud controls</w:t>
      </w:r>
    </w:p>
    <w:p>
      <w:pPr>
        <w:tabs>
          <w:tab w:pos="4896" w:val="left"/>
        </w:tabs>
      </w:pPr>
      <w:r>
        <w:rPr>
          <w:b/>
        </w:rPr>
        <w:t xml:space="preserve">Requested simultaneous call ceiling  </w:t>
      </w:r>
      <w:sdt>
        <w:sdtPr>
          <w:alias w:val="Requested simultaneous call ceiling"/>
          <w:tag w:val="call_ceiling"/>
          <w:id w:val="145"/>
          <w:text/>
          <w:showingPlcHdr/>
        </w:sdtPr>
        <w:sdtContent>
          <w:r>
            <w:rPr>
              <w:color w:val="64748B"/>
            </w:rPr>
            <w:t xml:space="preserve">Enter</w:t>
          </w:r>
        </w:sdtContent>
      </w:sdt>
      <w:r>
        <w:tab/>
      </w:r>
      <w:r>
        <w:rPr>
          <w:b/>
        </w:rPr>
        <w:t xml:space="preserve">Monthly spend warning amount  </w:t>
      </w:r>
      <w:sdt>
        <w:sdtPr>
          <w:alias w:val="Monthly spend warning amount"/>
          <w:tag w:val="spend_warning"/>
          <w:id w:val="146"/>
          <w:text/>
          <w:showingPlcHdr/>
        </w:sdtPr>
        <w:sdtContent>
          <w:r>
            <w:rPr>
              <w:color w:val="64748B"/>
            </w:rPr>
            <w:t xml:space="preserve">Enter</w:t>
          </w:r>
        </w:sdtContent>
      </w:sdt>
    </w:p>
    <w:p>
      <w:pPr>
        <w:keepNext/>
      </w:pPr>
      <w:r>
        <w:rPr>
          <w:b/>
        </w:rPr>
        <w:t>Currency warning recipients and requested response at a limit</w:t>
      </w:r>
    </w:p>
    <w:p>
      <w:pPr>
        <w:spacing w:after="100"/>
      </w:pPr>
      <w:sdt>
        <w:sdtPr>
          <w:alias w:val="Currency warning recipients and requested response at a limit"/>
          <w:tag w:val="spend_policy"/>
          <w:id w:val="147"/>
          <w:text/>
          <w:showingPlcHdr/>
        </w:sdtPr>
        <w:sdtContent>
          <w:r>
            <w:rPr>
              <w:color w:val="64748B"/>
            </w:rPr>
            <w:t xml:space="preserve">Click or tap to enter</w:t>
          </w:r>
        </w:sdtContent>
      </w:sdt>
    </w:p>
    <w:p>
      <w:r>
        <w:rPr>
          <w:b w:val="0"/>
          <w:sz w:val="18"/>
        </w:rPr>
        <w:t>Spend warnings and enforced blocking are different controls. Tariffs, billing increments, taxes, setup fees, usage limits and any blocking behaviour must be agreed separately. A budget entered here is not an enforced spending cap.</w:t>
      </w:r>
    </w:p>
    <w:p>
      <w:pPr>
        <w:keepNext/>
      </w:pPr>
      <w:r>
        <w:rPr>
          <w:b/>
        </w:rPr>
        <w:t>Fraud escalation contact and any carrier service requirements</w:t>
      </w:r>
    </w:p>
    <w:p>
      <w:pPr>
        <w:spacing w:after="100"/>
      </w:pPr>
      <w:sdt>
        <w:sdtPr>
          <w:alias w:val="Fraud escalation contact and any carrier service requirements"/>
          <w:tag w:val="fraud_contact"/>
          <w:id w:val="148"/>
          <w:text/>
          <w:showingPlcHdr/>
        </w:sdtPr>
        <w:sdtContent>
          <w:r>
            <w:rPr>
              <w:color w:val="64748B"/>
            </w:rPr>
            <w:t xml:space="preserve">Click or tap to enter</w:t>
          </w:r>
        </w:sdtContent>
      </w:sdt>
    </w:p>
    <w:p>
      <w:r>
        <w:br w:type="page"/>
      </w:r>
    </w:p>
    <w:p>
      <w:pPr>
        <w:pStyle w:val="Heading1"/>
      </w:pPr>
      <w:r>
        <w:t>5 Your PBX and network</w:t>
      </w:r>
    </w:p>
    <w:p>
      <w:r>
        <w:rPr>
          <w:b w:val="0"/>
          <w:sz w:val="18"/>
        </w:rPr>
        <w:t>Your technical team should complete this page. TLS registration with unique credentials is the planned default. Other connection methods or transports require separate review and acceptance testing.</w:t>
      </w:r>
    </w:p>
    <w:p>
      <w:pPr>
        <w:keepNext/>
      </w:pPr>
      <w:r>
        <w:rPr>
          <w:b/>
        </w:rPr>
        <w:t>PBX vendor model software version and maintainer contact</w:t>
      </w:r>
    </w:p>
    <w:p>
      <w:pPr>
        <w:spacing w:after="100"/>
      </w:pPr>
      <w:sdt>
        <w:sdtPr>
          <w:alias w:val="PBX vendor model software version and maintainer contact"/>
          <w:tag w:val="pbx_platform"/>
          <w:id w:val="149"/>
          <w:text/>
          <w:showingPlcHdr/>
        </w:sdtPr>
        <w:sdtContent>
          <w:r>
            <w:rPr>
              <w:color w:val="64748B"/>
            </w:rPr>
            <w:t xml:space="preserve">Click or tap to enter</w:t>
          </w:r>
        </w:sdtContent>
      </w:sdt>
    </w:p>
    <w:p>
      <w:pPr>
        <w:keepNext/>
      </w:pPr>
      <w:r>
        <w:rPr>
          <w:b/>
        </w:rPr>
        <w:t>PBX hosting location and internet or hosting provider</w:t>
      </w:r>
    </w:p>
    <w:p>
      <w:pPr>
        <w:spacing w:after="100"/>
      </w:pPr>
      <w:sdt>
        <w:sdtPr>
          <w:alias w:val="PBX hosting location and internet or hosting provider"/>
          <w:tag w:val="pbx_location"/>
          <w:id w:val="150"/>
          <w:text/>
          <w:showingPlcHdr/>
        </w:sdtPr>
        <w:sdtContent>
          <w:r>
            <w:rPr>
              <w:color w:val="64748B"/>
            </w:rPr>
            <w:t xml:space="preserve">Click or tap to enter</w:t>
          </w:r>
        </w:sdtContent>
      </w:sdt>
    </w:p>
    <w:p>
      <w:pPr>
        <w:keepNext/>
      </w:pPr>
      <w:r>
        <w:rPr>
          <w:b/>
        </w:rPr>
        <w:t>Public IP addresses or ranges and whether static or dynamic</w:t>
      </w:r>
    </w:p>
    <w:p>
      <w:pPr>
        <w:spacing w:after="100"/>
      </w:pPr>
      <w:sdt>
        <w:sdtPr>
          <w:alias w:val="Public IP addresses or ranges and whether static or dynamic"/>
          <w:tag w:val="public_addresses"/>
          <w:id w:val="151"/>
          <w:text/>
          <w:showingPlcHdr/>
        </w:sdtPr>
        <w:sdtContent>
          <w:r>
            <w:rPr>
              <w:color w:val="64748B"/>
            </w:rPr>
            <w:t xml:space="preserve">Click or tap to enter</w:t>
          </w:r>
        </w:sdtContent>
      </w:sdt>
    </w:p>
    <w:p>
      <w:pPr>
        <w:keepNext/>
      </w:pPr>
      <w:r>
        <w:rPr>
          <w:b/>
        </w:rPr>
        <w:t>Firewall NAT CGNAT VPN or private circuit restrictions</w:t>
      </w:r>
    </w:p>
    <w:p>
      <w:pPr>
        <w:spacing w:after="100"/>
      </w:pPr>
      <w:sdt>
        <w:sdtPr>
          <w:alias w:val="Firewall NAT CGNAT VPN or private circuit restrictions"/>
          <w:tag w:val="network_details"/>
          <w:id w:val="152"/>
          <w:text/>
          <w:showingPlcHdr/>
        </w:sdtPr>
        <w:sdtContent>
          <w:r>
            <w:rPr>
              <w:color w:val="64748B"/>
            </w:rPr>
            <w:t xml:space="preserve">Click or tap to enter</w:t>
          </w:r>
        </w:sdtContent>
      </w:sdt>
    </w:p>
    <w:p>
      <w:pPr>
        <w:pStyle w:val="Heading2"/>
      </w:pPr>
      <w:r>
        <w:t>Authentication and signalling</w:t>
      </w:r>
    </w:p>
    <w:p>
      <w:r>
        <w:rPr>
          <w:b/>
        </w:rPr>
        <w:t>PBX authentication support</w:t>
      </w:r>
    </w:p>
    <w:p>
      <w:pPr>
        <w:spacing w:after="100"/>
      </w:pPr>
      <w:sdt>
        <w:sdtPr>
          <w:alias w:val="PBX authentication support — Registration with credentials"/>
          <w:tag w:val="auth_support_1"/>
          <w:id w:val="153"/>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Registration with credentials</w:t>
      </w:r>
      <w:r>
        <w:t xml:space="preserve">    </w:t>
      </w:r>
      <w:sdt>
        <w:sdtPr>
          <w:alias w:val="PBX authentication support — IP authentication only"/>
          <w:tag w:val="auth_support_2"/>
          <w:id w:val="154"/>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IP authentication only</w:t>
      </w:r>
      <w:r>
        <w:t xml:space="preserve">    </w:t>
      </w:r>
      <w:sdt>
        <w:sdtPr>
          <w:alias w:val="PBX authentication support — Unknown"/>
          <w:tag w:val="auth_support_3"/>
          <w:id w:val="155"/>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Unknown</w:t>
      </w:r>
    </w:p>
    <w:p>
      <w:r>
        <w:rPr>
          <w:b/>
        </w:rPr>
        <w:t>Supported signalling transports</w:t>
      </w:r>
    </w:p>
    <w:p>
      <w:pPr>
        <w:spacing w:after="100"/>
      </w:pPr>
      <w:sdt>
        <w:sdtPr>
          <w:alias w:val="Supported signalling transports — TLS"/>
          <w:tag w:val="transports_1"/>
          <w:id w:val="156"/>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TLS</w:t>
      </w:r>
      <w:r>
        <w:t xml:space="preserve">    </w:t>
      </w:r>
      <w:sdt>
        <w:sdtPr>
          <w:alias w:val="Supported signalling transports — TCP"/>
          <w:tag w:val="transports_2"/>
          <w:id w:val="157"/>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TCP</w:t>
      </w:r>
      <w:r>
        <w:t xml:space="preserve">    </w:t>
      </w:r>
      <w:sdt>
        <w:sdtPr>
          <w:alias w:val="Supported signalling transports — UDP"/>
          <w:tag w:val="transports_3"/>
          <w:id w:val="158"/>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UDP</w:t>
      </w:r>
      <w:r>
        <w:t xml:space="preserve">    </w:t>
      </w:r>
      <w:sdt>
        <w:sdtPr>
          <w:alias w:val="Supported signalling transports — Unknown"/>
          <w:tag w:val="transports_4"/>
          <w:id w:val="159"/>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Unknown</w:t>
      </w:r>
    </w:p>
    <w:p>
      <w:pPr>
        <w:keepNext/>
      </w:pPr>
      <w:r>
        <w:rPr>
          <w:b/>
        </w:rPr>
        <w:t>Number of separate trunks and registered contacts required</w:t>
      </w:r>
    </w:p>
    <w:p>
      <w:pPr>
        <w:spacing w:after="100"/>
      </w:pPr>
      <w:sdt>
        <w:sdtPr>
          <w:alias w:val="Number of separate trunks and registered contacts required"/>
          <w:tag w:val="trunk_contacts"/>
          <w:id w:val="160"/>
          <w:text/>
          <w:showingPlcHdr/>
        </w:sdtPr>
        <w:sdtContent>
          <w:r>
            <w:rPr>
              <w:color w:val="64748B"/>
            </w:rPr>
            <w:t xml:space="preserve">Click or tap to enter</w:t>
          </w:r>
        </w:sdtContent>
      </w:sdt>
    </w:p>
    <w:p>
      <w:r>
        <w:rPr>
          <w:b w:val="0"/>
          <w:sz w:val="18"/>
        </w:rPr>
        <w:t>Initial design uses one registered contact per trunk. Multiple sites, redundancy and alternative authentication methods require an agreed design; they are not enabled by this form.</w:t>
      </w:r>
    </w:p>
    <w:p>
      <w:pPr>
        <w:keepNext/>
      </w:pPr>
      <w:r>
        <w:rPr>
          <w:b/>
        </w:rPr>
        <w:t>Registration expiry outbound proxy DNS or certificate restrictions</w:t>
      </w:r>
    </w:p>
    <w:p>
      <w:pPr>
        <w:spacing w:after="100"/>
      </w:pPr>
      <w:sdt>
        <w:sdtPr>
          <w:alias w:val="Registration expiry outbound proxy DNS or certificate restrictions"/>
          <w:tag w:val="signalling_requirements"/>
          <w:id w:val="161"/>
          <w:text/>
          <w:showingPlcHdr/>
        </w:sdtPr>
        <w:sdtContent>
          <w:r>
            <w:rPr>
              <w:color w:val="64748B"/>
            </w:rPr>
            <w:t xml:space="preserve">Click or tap to enter</w:t>
          </w:r>
        </w:sdtContent>
      </w:sdt>
    </w:p>
    <w:p>
      <w:pPr>
        <w:keepNext/>
      </w:pPr>
      <w:r>
        <w:rPr>
          <w:b/>
        </w:rPr>
        <w:t>Number format and caller ID headers your PBX expects</w:t>
      </w:r>
      <w:r>
        <w:rPr>
          <w:sz w:val="18"/>
        </w:rPr>
        <w:t xml:space="preserve">  Include country code handling and any dial prefix</w:t>
      </w:r>
    </w:p>
    <w:p>
      <w:pPr>
        <w:spacing w:after="100"/>
      </w:pPr>
      <w:sdt>
        <w:sdtPr>
          <w:alias w:val="Number format and caller ID headers your PBX expects"/>
          <w:tag w:val="number_format"/>
          <w:id w:val="162"/>
          <w:text/>
          <w:showingPlcHdr/>
        </w:sdtPr>
        <w:sdtContent>
          <w:r>
            <w:rPr>
              <w:color w:val="64748B"/>
            </w:rPr>
            <w:t xml:space="preserve">Click or tap to enter</w:t>
          </w:r>
        </w:sdtContent>
      </w:sdt>
    </w:p>
    <w:p>
      <w:pPr>
        <w:pStyle w:val="Heading2"/>
      </w:pPr>
      <w:r>
        <w:t>Media and interoperability</w:t>
      </w:r>
    </w:p>
    <w:p>
      <w:r>
        <w:rPr>
          <w:b/>
        </w:rPr>
        <w:t>Required audio encryption</w:t>
      </w:r>
    </w:p>
    <w:p>
      <w:pPr>
        <w:spacing w:after="100"/>
      </w:pPr>
      <w:sdt>
        <w:sdtPr>
          <w:alias w:val="Required audio encryption — SRTP required"/>
          <w:tag w:val="audio_encryption_1"/>
          <w:id w:val="163"/>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SRTP required</w:t>
      </w:r>
      <w:r>
        <w:t xml:space="preserve">    </w:t>
      </w:r>
      <w:sdt>
        <w:sdtPr>
          <w:alias w:val="Required audio encryption — Plain RTP acceptable for review"/>
          <w:tag w:val="audio_encryption_2"/>
          <w:id w:val="164"/>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Plain RTP acceptable for review</w:t>
      </w:r>
      <w:r>
        <w:t xml:space="preserve">    </w:t>
      </w:r>
      <w:sdt>
        <w:sdtPr>
          <w:alias w:val="Required audio encryption — Need advice"/>
          <w:tag w:val="audio_encryption_3"/>
          <w:id w:val="165"/>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Need advice</w:t>
      </w:r>
    </w:p>
    <w:p>
      <w:r>
        <w:rPr>
          <w:b w:val="0"/>
          <w:sz w:val="18"/>
        </w:rPr>
        <w:t>TLS protects signalling. It does not by itself encrypt audio. The agreed media mode and codec path must pass a real interoperability test.</w:t>
      </w:r>
    </w:p>
    <w:p>
      <w:pPr>
        <w:keepNext/>
      </w:pPr>
      <w:r>
        <w:rPr>
          <w:b/>
        </w:rPr>
        <w:t>Supported audio codecs in preference order</w:t>
      </w:r>
    </w:p>
    <w:p>
      <w:pPr>
        <w:spacing w:after="100"/>
      </w:pPr>
      <w:sdt>
        <w:sdtPr>
          <w:alias w:val="Supported audio codecs in preference order"/>
          <w:tag w:val="codecs"/>
          <w:id w:val="166"/>
          <w:text/>
          <w:showingPlcHdr/>
        </w:sdtPr>
        <w:sdtContent>
          <w:r>
            <w:rPr>
              <w:color w:val="64748B"/>
            </w:rPr>
            <w:t xml:space="preserve">Click or tap to enter</w:t>
          </w:r>
        </w:sdtContent>
      </w:sdt>
    </w:p>
    <w:p>
      <w:pPr>
        <w:keepNext/>
      </w:pPr>
      <w:r>
        <w:rPr>
          <w:b/>
        </w:rPr>
        <w:t>DTMF method and any fax hold transfer or caller ID requirements</w:t>
      </w:r>
    </w:p>
    <w:p>
      <w:pPr>
        <w:spacing w:after="100"/>
      </w:pPr>
      <w:sdt>
        <w:sdtPr>
          <w:alias w:val="DTMF method and any fax hold transfer or caller ID requirements"/>
          <w:tag w:val="dtmf_features"/>
          <w:id w:val="167"/>
          <w:text/>
          <w:showingPlcHdr/>
        </w:sdtPr>
        <w:sdtContent>
          <w:r>
            <w:rPr>
              <w:color w:val="64748B"/>
            </w:rPr>
            <w:t xml:space="preserve">Click or tap to enter</w:t>
          </w:r>
        </w:sdtContent>
      </w:sdt>
    </w:p>
    <w:p>
      <w:pPr>
        <w:keepNext/>
      </w:pPr>
      <w:r>
        <w:rPr>
          <w:b/>
        </w:rPr>
        <w:t>RTP port range and separate media IP addresses if applicable</w:t>
      </w:r>
    </w:p>
    <w:p>
      <w:pPr>
        <w:spacing w:after="100"/>
      </w:pPr>
      <w:sdt>
        <w:sdtPr>
          <w:alias w:val="RTP port range and separate media IP addresses if applicable"/>
          <w:tag w:val="rtp_details"/>
          <w:id w:val="168"/>
          <w:text/>
          <w:showingPlcHdr/>
        </w:sdtPr>
        <w:sdtContent>
          <w:r>
            <w:rPr>
              <w:color w:val="64748B"/>
            </w:rPr>
            <w:t xml:space="preserve">Click or tap to enter</w:t>
          </w:r>
        </w:sdtContent>
      </w:sdt>
    </w:p>
    <w:p>
      <w:pPr>
        <w:keepNext/>
      </w:pPr>
      <w:r>
        <w:rPr>
          <w:b/>
        </w:rPr>
        <w:t>Reconnect failover or redundancy requirements</w:t>
      </w:r>
    </w:p>
    <w:p>
      <w:pPr>
        <w:spacing w:after="100"/>
      </w:pPr>
      <w:sdt>
        <w:sdtPr>
          <w:alias w:val="Reconnect failover or redundancy requirements"/>
          <w:tag w:val="failover_requirements"/>
          <w:id w:val="169"/>
          <w:text/>
          <w:showingPlcHdr/>
        </w:sdtPr>
        <w:sdtContent>
          <w:r>
            <w:rPr>
              <w:color w:val="64748B"/>
            </w:rPr>
            <w:t xml:space="preserve">Click or tap to enter</w:t>
          </w:r>
        </w:sdtContent>
      </w:sdt>
    </w:p>
    <w:p>
      <w:r>
        <w:rPr>
          <w:b w:val="0"/>
          <w:sz w:val="18"/>
        </w:rPr>
        <w:t>Voice Global Networks will supply accepted connection details and credentials separately. Do not enter PBX or trunk passwords here, or change firewall rules based solely on this form.</w:t>
      </w:r>
    </w:p>
    <w:p>
      <w:r>
        <w:br w:type="page"/>
      </w:r>
    </w:p>
    <w:p>
      <w:pPr>
        <w:pStyle w:val="Heading1"/>
      </w:pPr>
      <w:r>
        <w:t>6 Security testing and activation</w:t>
      </w:r>
    </w:p>
    <w:p>
      <w:r>
        <w:rPr>
          <w:b w:val="0"/>
          <w:sz w:val="18"/>
        </w:rPr>
        <w:t>Complete before an activation plan is agreed. Customer PBX administration and user provisioning remain outside this SIP trunk request.</w:t>
      </w:r>
    </w:p>
    <w:p>
      <w:pPr>
        <w:keepNext/>
      </w:pPr>
      <w:r>
        <w:rPr>
          <w:b/>
        </w:rPr>
        <w:t>Authorised change approvers and security or outage contact</w:t>
      </w:r>
    </w:p>
    <w:p>
      <w:pPr>
        <w:spacing w:after="100"/>
      </w:pPr>
      <w:sdt>
        <w:sdtPr>
          <w:alias w:val="Authorised change approvers and security or outage contact"/>
          <w:tag w:val="security_contacts"/>
          <w:id w:val="170"/>
          <w:text/>
          <w:showingPlcHdr/>
        </w:sdtPr>
        <w:sdtContent>
          <w:r>
            <w:rPr>
              <w:color w:val="64748B"/>
            </w:rPr>
            <w:t xml:space="preserve">Click or tap to enter</w:t>
          </w:r>
        </w:sdtContent>
      </w:sdt>
    </w:p>
    <w:p>
      <w:pPr>
        <w:keepNext/>
      </w:pPr>
      <w:r>
        <w:rPr>
          <w:b/>
        </w:rPr>
        <w:t>Required source address restrictions and security requirements</w:t>
      </w:r>
    </w:p>
    <w:p>
      <w:pPr>
        <w:spacing w:after="100"/>
      </w:pPr>
      <w:sdt>
        <w:sdtPr>
          <w:alias w:val="Required source address restrictions and security requirements"/>
          <w:tag w:val="source_restrictions"/>
          <w:id w:val="171"/>
          <w:text/>
          <w:showingPlcHdr/>
        </w:sdtPr>
        <w:sdtContent>
          <w:r>
            <w:rPr>
              <w:color w:val="64748B"/>
            </w:rPr>
            <w:t xml:space="preserve">Click or tap to enter</w:t>
          </w:r>
        </w:sdtContent>
      </w:sdt>
    </w:p>
    <w:p>
      <w:pPr>
        <w:keepNext/>
      </w:pPr>
      <w:r>
        <w:rPr>
          <w:b/>
        </w:rPr>
        <w:t>Required call detail reports recipients and data location or retention needs</w:t>
      </w:r>
    </w:p>
    <w:p>
      <w:pPr>
        <w:spacing w:after="100"/>
      </w:pPr>
      <w:sdt>
        <w:sdtPr>
          <w:alias w:val="Required call detail reports recipients and data location or retention needs"/>
          <w:tag w:val="cdr_requirements"/>
          <w:id w:val="172"/>
          <w:text/>
          <w:showingPlcHdr/>
        </w:sdtPr>
        <w:sdtContent>
          <w:r>
            <w:rPr>
              <w:color w:val="64748B"/>
            </w:rPr>
            <w:t xml:space="preserve">Click or tap to enter</w:t>
          </w:r>
        </w:sdtContent>
      </w:sdt>
    </w:p>
    <w:p>
      <w:r>
        <w:rPr>
          <w:b w:val="0"/>
          <w:sz w:val="18"/>
        </w:rPr>
        <w:t>Call recording and storage are not included in this SIP trunk request. Tell us about any media compatibility requirements for recording on your own system; do not send recordings or customer contact lists.</w:t>
      </w:r>
    </w:p>
    <w:p>
      <w:pPr>
        <w:pStyle w:val="Heading2"/>
      </w:pPr>
      <w:r>
        <w:t>Emergency calling</w:t>
      </w:r>
    </w:p>
    <w:p>
      <w:r>
        <w:rPr>
          <w:b/>
        </w:rPr>
        <w:t>Will anyone rely on this trunk for emergency calls</w:t>
      </w:r>
    </w:p>
    <w:p>
      <w:pPr>
        <w:spacing w:after="100"/>
      </w:pPr>
      <w:sdt>
        <w:sdtPr>
          <w:alias w:val="Will anyone rely on this trunk for emergency calls — Yes"/>
          <w:tag w:val="emergency_need_1"/>
          <w:id w:val="173"/>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Yes</w:t>
      </w:r>
      <w:r>
        <w:t xml:space="preserve">    </w:t>
      </w:r>
      <w:sdt>
        <w:sdtPr>
          <w:alias w:val="Will anyone rely on this trunk for emergency calls — No"/>
          <w:tag w:val="emergency_need_2"/>
          <w:id w:val="174"/>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No</w:t>
      </w:r>
      <w:r>
        <w:t xml:space="preserve">    </w:t>
      </w:r>
      <w:sdt>
        <w:sdtPr>
          <w:alias w:val="Will anyone rely on this trunk for emergency calls — Need advice"/>
          <w:tag w:val="emergency_need_3"/>
          <w:id w:val="175"/>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Need advice</w:t>
      </w:r>
    </w:p>
    <w:p>
      <w:r>
        <w:rPr>
          <w:b w:val="0"/>
          <w:sz w:val="18"/>
        </w:rPr>
        <w:t>Emergency calling is not confirmed by this form. Coverage, registered location, routing and an alternative method must be agreed and validated if required before activation.</w:t>
      </w:r>
    </w:p>
    <w:p>
      <w:pPr>
        <w:keepNext/>
      </w:pPr>
      <w:r>
        <w:rPr>
          <w:b/>
        </w:rPr>
        <w:t>Emergency service countries and site location requirements if needed</w:t>
      </w:r>
    </w:p>
    <w:p>
      <w:pPr>
        <w:spacing w:after="100"/>
      </w:pPr>
      <w:sdt>
        <w:sdtPr>
          <w:alias w:val="Emergency service countries and site location requirements if needed"/>
          <w:tag w:val="emergency_requirements"/>
          <w:id w:val="176"/>
          <w:text/>
          <w:showingPlcHdr/>
        </w:sdtPr>
        <w:sdtContent>
          <w:r>
            <w:rPr>
              <w:color w:val="64748B"/>
            </w:rPr>
            <w:t xml:space="preserve">Click or tap to enter</w:t>
          </w:r>
        </w:sdtContent>
      </w:sdt>
    </w:p>
    <w:p>
      <w:pPr>
        <w:pStyle w:val="Heading2"/>
      </w:pPr>
      <w:r>
        <w:t>Acceptance test and cutover</w:t>
      </w:r>
    </w:p>
    <w:p>
      <w:pPr>
        <w:keepNext/>
      </w:pPr>
      <w:r>
        <w:rPr>
          <w:b/>
        </w:rPr>
        <w:t>Authorised outbound test number and approved outgoing caller ID</w:t>
      </w:r>
    </w:p>
    <w:p>
      <w:pPr>
        <w:spacing w:after="100"/>
      </w:pPr>
      <w:sdt>
        <w:sdtPr>
          <w:alias w:val="Authorised outbound test number and approved outgoing caller ID"/>
          <w:tag w:val="test_outbound"/>
          <w:id w:val="177"/>
          <w:text/>
          <w:showingPlcHdr/>
        </w:sdtPr>
        <w:sdtContent>
          <w:r>
            <w:rPr>
              <w:color w:val="64748B"/>
            </w:rPr>
            <w:t xml:space="preserve">Click or tap to enter</w:t>
          </w:r>
        </w:sdtContent>
      </w:sdt>
    </w:p>
    <w:p>
      <w:pPr>
        <w:keepNext/>
      </w:pPr>
      <w:r>
        <w:rPr>
          <w:b/>
        </w:rPr>
        <w:t>Inbound test number PBX destination and receiving test contact</w:t>
      </w:r>
    </w:p>
    <w:p>
      <w:pPr>
        <w:spacing w:after="100"/>
      </w:pPr>
      <w:sdt>
        <w:sdtPr>
          <w:alias w:val="Inbound test number PBX destination and receiving test contact"/>
          <w:tag w:val="test_inbound"/>
          <w:id w:val="178"/>
          <w:text/>
          <w:showingPlcHdr/>
        </w:sdtPr>
        <w:sdtContent>
          <w:r>
            <w:rPr>
              <w:color w:val="64748B"/>
            </w:rPr>
            <w:t xml:space="preserve">Click or tap to enter</w:t>
          </w:r>
        </w:sdtContent>
      </w:sdt>
    </w:p>
    <w:p>
      <w:pPr>
        <w:keepNext/>
      </w:pPr>
      <w:r>
        <w:rPr>
          <w:b/>
        </w:rPr>
        <w:t>Preferred test and cutover windows including timezone</w:t>
      </w:r>
    </w:p>
    <w:p>
      <w:pPr>
        <w:spacing w:after="100"/>
      </w:pPr>
      <w:sdt>
        <w:sdtPr>
          <w:alias w:val="Preferred test and cutover windows including timezone"/>
          <w:tag w:val="test_cutover_window"/>
          <w:id w:val="179"/>
          <w:text/>
          <w:showingPlcHdr/>
        </w:sdtPr>
        <w:sdtContent>
          <w:r>
            <w:rPr>
              <w:color w:val="64748B"/>
            </w:rPr>
            <w:t xml:space="preserve">Click or tap to enter</w:t>
          </w:r>
        </w:sdtContent>
      </w:sdt>
    </w:p>
    <w:p>
      <w:pPr>
        <w:keepNext/>
      </w:pPr>
      <w:r>
        <w:rPr>
          <w:b/>
        </w:rPr>
        <w:t>Person approving activation and migration fallback requirements</w:t>
      </w:r>
    </w:p>
    <w:p>
      <w:pPr>
        <w:spacing w:after="100"/>
      </w:pPr>
      <w:sdt>
        <w:sdtPr>
          <w:alias w:val="Person approving activation and migration fallback requirements"/>
          <w:tag w:val="activation_approver"/>
          <w:id w:val="180"/>
          <w:text/>
          <w:showingPlcHdr/>
        </w:sdtPr>
        <w:sdtContent>
          <w:r>
            <w:rPr>
              <w:color w:val="64748B"/>
            </w:rPr>
            <w:t xml:space="preserve">Click or tap to enter</w:t>
          </w:r>
        </w:sdtContent>
      </w:sdt>
    </w:p>
    <w:p>
      <w:r>
        <w:rPr>
          <w:b w:val="0"/>
          <w:sz w:val="18"/>
        </w:rPr>
        <w:t>Acceptance will cover registration or agreed authentication, inbound and outbound calls, two way audio, DTMF, caller ID, hangup, limits and call detail attribution. Testing uses only permitted numbers and agreed call charges.</w:t>
      </w:r>
    </w:p>
    <w:p>
      <w:pPr>
        <w:keepNext/>
      </w:pPr>
      <w:r>
        <w:rPr>
          <w:b/>
        </w:rPr>
        <w:t>Other requirements or dependencies</w:t>
      </w:r>
    </w:p>
    <w:p>
      <w:pPr>
        <w:spacing w:after="100"/>
      </w:pPr>
      <w:sdt>
        <w:sdtPr>
          <w:alias w:val="Other requirements or dependencies"/>
          <w:tag w:val="other_requirements"/>
          <w:id w:val="181"/>
          <w:text/>
          <w:showingPlcHdr/>
        </w:sdtPr>
        <w:sdtContent>
          <w:r>
            <w:rPr>
              <w:color w:val="64748B"/>
            </w:rPr>
            <w:t xml:space="preserve">Click or tap to enter</w:t>
          </w:r>
        </w:sdtContent>
      </w:sdt>
    </w:p>
    <w:p>
      <w:pPr>
        <w:pStyle w:val="Heading2"/>
      </w:pPr>
      <w:r>
        <w:t>7 Customer review</w:t>
      </w:r>
    </w:p>
    <w:p>
      <w:r>
        <w:rPr>
          <w:b/>
        </w:rPr>
        <w:t>Please confirm</w:t>
      </w:r>
    </w:p>
    <w:p>
      <w:pPr>
        <w:spacing w:after="100"/>
      </w:pPr>
      <w:sdt>
        <w:sdtPr>
          <w:alias w:val="Please confirm — I am authorised to submit these SIP trunk requirements"/>
          <w:tag w:val="customer_confirmation_1"/>
          <w:id w:val="182"/>
          <w14:checkbox>
            <w14:checked w14:val="0"/>
            <w14:checkedState w14:val="2612" w14:font="DejaVu Sans"/>
            <w14:uncheckedState w14:val="2610" w14:font="DejaVu Sans"/>
          </w14:checkbox>
        </w:sdtPr>
        <w:sdtContent>
          <w:r>
            <w:rPr>
              <w:color w:val="000000"/>
              <w:rFonts w:ascii="DejaVu Sans" w:hAnsi="DejaVu Sans"/>
            </w:rPr>
            <w:t xml:space="preserve">☐</w:t>
          </w:r>
        </w:sdtContent>
      </w:sdt>
      <w:r>
        <w:t xml:space="preserve"> I am authorised to submit these SIP trunk requirements</w:t>
      </w:r>
    </w:p>
    <w:p>
      <w:r>
        <w:rPr>
          <w:b w:val="0"/>
          <w:sz w:val="18"/>
        </w:rPr>
        <w:t>Submitting this form requests follow up. It does not place an order, activate service, accept paid terms or subscribe you to marketing. Number availability, destinations, PBX compatibility, capacity, pricing, security and support must be agreed separately.</w:t>
      </w:r>
    </w:p>
    <w:p>
      <w:r>
        <w:rPr>
          <w:b w:val="0"/>
          <w:sz w:val="18"/>
        </w:rPr>
        <w:t>Privacy information: https://voiceglobal.net/privacy-policy</w:t>
        <w:br/>
        <w:t>Enquiry terms: https://voiceglobal.net/website-terms</w:t>
      </w:r>
    </w:p>
    <w:p>
      <w:pPr>
        <w:tabs>
          <w:tab w:pos="4896" w:val="left"/>
        </w:tabs>
      </w:pPr>
      <w:r>
        <w:rPr>
          <w:b/>
        </w:rPr>
        <w:t xml:space="preserve">Submitted by  </w:t>
      </w:r>
      <w:sdt>
        <w:sdtPr>
          <w:alias w:val="Submitted by"/>
          <w:tag w:val="submitted_by"/>
          <w:id w:val="183"/>
          <w:text/>
          <w:showingPlcHdr/>
        </w:sdtPr>
        <w:sdtContent>
          <w:r>
            <w:rPr>
              <w:color w:val="64748B"/>
            </w:rPr>
            <w:t xml:space="preserve">Enter</w:t>
          </w:r>
        </w:sdtContent>
      </w:sdt>
      <w:r>
        <w:tab/>
      </w:r>
      <w:r>
        <w:rPr>
          <w:b/>
        </w:rPr>
        <w:t xml:space="preserve">Date  </w:t>
      </w:r>
      <w:sdt>
        <w:sdtPr>
          <w:alias w:val="Date"/>
          <w:tag w:val="submitted_date"/>
          <w:id w:val="184"/>
          <w:text/>
          <w:showingPlcHdr/>
        </w:sdtPr>
        <w:sdtContent>
          <w:r>
            <w:rPr>
              <w:color w:val="64748B"/>
            </w:rPr>
            <w:t xml:space="preserve">Enter</w:t>
          </w:r>
        </w:sdtContent>
      </w:sdt>
    </w:p>
    <w:sectPr w:rsidR="00FC693F" w:rsidRPr="0006063C" w:rsidSect="00034616">
      <w:headerReference w:type="default" r:id="rId9"/>
      <w:footerReference w:type="default" r:id="rId10"/>
      <w:pgSz w:w="11909" w:h="16834"/>
      <w:pgMar w:top="1066" w:right="1008" w:bottom="950" w:left="1008"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856" w:val="left"/>
      </w:tabs>
    </w:pPr>
    <w:r>
      <w:t>Voice Global Networks  |  SIP intake v1.0  |  27 October 2026</w:t>
      <w:tab/>
    </w:r>
    <w:fldSimple w:instr="PAGE">
      <w:r>
        <w:t>1</w:t>
      </w:r>
    </w:fldSimple>
    <w:r>
      <w:t xml:space="preserve"> of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673352" cy="491547"/>
          <wp:docPr id="1" name="Picture 1" descr="Voice Global Networks logo"/>
          <wp:cNvGraphicFramePr>
            <a:graphicFrameLocks noChangeAspect="1"/>
          </wp:cNvGraphicFramePr>
          <a:graphic>
            <a:graphicData uri="http://schemas.openxmlformats.org/drawingml/2006/picture">
              <pic:pic>
                <pic:nvPicPr>
                  <pic:cNvPr id="0" name="voice-global-wordmark-on-white.png"/>
                  <pic:cNvPicPr/>
                </pic:nvPicPr>
                <pic:blipFill>
                  <a:blip r:embed="rId1"/>
                  <a:stretch>
                    <a:fillRect/>
                  </a:stretch>
                </pic:blipFill>
                <pic:spPr>
                  <a:xfrm>
                    <a:off x="0" y="0"/>
                    <a:ext cx="1673352" cy="49154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80" w:line="252" w:lineRule="auto"/>
    </w:pPr>
    <w:rPr>
      <w:rFonts w:ascii="Calibri" w:hAnsi="Calibri"/>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80" w:line="252" w:lineRule="auto"/>
    </w:pPr>
    <w:rPr>
      <w:rFonts w:ascii="Calibri" w:hAnsi="Calibri"/>
      <w:color w:val="000000"/>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40" w:line="252" w:lineRule="auto"/>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80" w:after="80" w:line="252" w:lineRule="auto"/>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pPr>
    <w:rPr>
      <w:rFonts w:asciiTheme="majorHAnsi" w:eastAsiaTheme="majorEastAsia" w:hAnsiTheme="majorHAnsi" w:cstheme="majorBidi" w:ascii="Calibri" w:hAnsi="Calibri"/>
      <w:i/>
      <w:iCs/>
      <w:color w:val="00000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Voice Global Networks SIP Trunk Customer Intake Form</dc:title>
  <dc:subject>SIP trunk connectivity only for a customer managed PBX</dc:subject>
  <dc:creator>Voice Global Networks</dc:creator>
  <cp:keywords>Customer intake, SIP trunk, customer PBX</cp:keywords>
  <dc:description>generated by python-docx</dc:description>
  <cp:lastModifiedBy/>
  <cp:revision>1</cp:revision>
  <dcterms:created xsi:type="dcterms:W3CDTF">2026-10-27T00:00:00Z</dcterms:created>
  <dcterms:modified xsi:type="dcterms:W3CDTF">2026-10-27T00:00:00Z</dcterms:modified>
  <cp:category/>
</cp:coreProperties>
</file>